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B580B" w:rsidRDefault="0039574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Virtual Special Programs Supervisor</w:t>
      </w:r>
    </w:p>
    <w:p w14:paraId="00000002" w14:textId="77777777" w:rsidR="00EB580B" w:rsidRDefault="00EB580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sz w:val="32"/>
          <w:szCs w:val="32"/>
        </w:rPr>
      </w:pPr>
    </w:p>
    <w:p w14:paraId="00000003" w14:textId="77777777" w:rsidR="00EB580B" w:rsidRDefault="0039574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 xml:space="preserve">Employee Name (Print):   </w:t>
      </w:r>
      <w:r>
        <w:rPr>
          <w:rFonts w:ascii="Arial" w:eastAsia="Arial" w:hAnsi="Arial" w:cs="Arial"/>
          <w:b/>
          <w:color w:val="000000"/>
          <w:u w:val="single"/>
        </w:rPr>
        <w:t>________________________________</w:t>
      </w:r>
    </w:p>
    <w:p w14:paraId="00000004" w14:textId="77777777" w:rsidR="00EB580B" w:rsidRDefault="00EB580B">
      <w:pPr>
        <w:pBdr>
          <w:bottom w:val="single" w:sz="6" w:space="1" w:color="000000"/>
        </w:pBdr>
        <w:tabs>
          <w:tab w:val="left" w:pos="408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05" w14:textId="77777777" w:rsidR="00EB580B" w:rsidRDefault="00EB580B">
      <w:pPr>
        <w:tabs>
          <w:tab w:val="left" w:pos="408"/>
        </w:tabs>
        <w:ind w:right="-720"/>
        <w:rPr>
          <w:rFonts w:ascii="Arial" w:eastAsia="Arial" w:hAnsi="Arial" w:cs="Arial"/>
          <w:b/>
          <w:sz w:val="20"/>
          <w:szCs w:val="20"/>
        </w:rPr>
      </w:pPr>
    </w:p>
    <w:p w14:paraId="00000006" w14:textId="77777777" w:rsidR="00EB580B" w:rsidRDefault="00395749">
      <w:pPr>
        <w:tabs>
          <w:tab w:val="left" w:pos="408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Reports To: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Chief Academic Officer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  <w:t>Paygrade: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P4</w:t>
      </w:r>
    </w:p>
    <w:p w14:paraId="00000007" w14:textId="77777777" w:rsidR="00EB580B" w:rsidRDefault="00EB580B">
      <w:pPr>
        <w:tabs>
          <w:tab w:val="left" w:pos="408"/>
        </w:tabs>
        <w:ind w:right="-720"/>
        <w:rPr>
          <w:rFonts w:ascii="Arial" w:eastAsia="Arial" w:hAnsi="Arial" w:cs="Arial"/>
          <w:b/>
          <w:sz w:val="20"/>
          <w:szCs w:val="20"/>
        </w:rPr>
      </w:pPr>
    </w:p>
    <w:p w14:paraId="00000008" w14:textId="77777777" w:rsidR="00EB580B" w:rsidRDefault="00395749">
      <w:pPr>
        <w:tabs>
          <w:tab w:val="left" w:pos="408"/>
        </w:tabs>
        <w:ind w:right="-7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Dept</w:t>
      </w:r>
      <w:proofErr w:type="spellEnd"/>
      <w:r>
        <w:rPr>
          <w:rFonts w:ascii="Arial" w:eastAsia="Arial" w:hAnsi="Arial" w:cs="Arial"/>
          <w:b/>
          <w:sz w:val="20"/>
          <w:szCs w:val="20"/>
        </w:rPr>
        <w:t>/Campus: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Instructional Services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>Date Revised: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June 2022</w:t>
      </w:r>
    </w:p>
    <w:p w14:paraId="00000009" w14:textId="77777777" w:rsidR="00EB580B" w:rsidRDefault="00EB580B">
      <w:pPr>
        <w:tabs>
          <w:tab w:val="left" w:pos="408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0A" w14:textId="77777777" w:rsidR="00EB580B" w:rsidRDefault="00395749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Wage/Hour Status: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Exempt</w:t>
      </w:r>
    </w:p>
    <w:p w14:paraId="0000000B" w14:textId="77777777" w:rsidR="00EB580B" w:rsidRDefault="00EB580B">
      <w:pPr>
        <w:pBdr>
          <w:bottom w:val="single" w:sz="6" w:space="1" w:color="000000"/>
        </w:pBdr>
        <w:tabs>
          <w:tab w:val="left" w:pos="408"/>
        </w:tabs>
        <w:rPr>
          <w:rFonts w:ascii="Arial" w:eastAsia="Arial" w:hAnsi="Arial" w:cs="Arial"/>
          <w:sz w:val="20"/>
          <w:szCs w:val="20"/>
        </w:rPr>
      </w:pPr>
    </w:p>
    <w:p w14:paraId="0000000C" w14:textId="77777777" w:rsidR="00EB580B" w:rsidRDefault="00EB580B">
      <w:pPr>
        <w:rPr>
          <w:rFonts w:ascii="Arial" w:eastAsia="Arial" w:hAnsi="Arial" w:cs="Arial"/>
          <w:b/>
          <w:sz w:val="20"/>
          <w:szCs w:val="20"/>
        </w:rPr>
      </w:pPr>
    </w:p>
    <w:p w14:paraId="0000000D" w14:textId="77777777" w:rsidR="00EB580B" w:rsidRDefault="0039574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This job description reflects management’s assignment of essential functions; it does not prescribe or restrict the tasks that may be assigned.</w:t>
      </w:r>
    </w:p>
    <w:p w14:paraId="0000000E" w14:textId="77777777" w:rsidR="00EB580B" w:rsidRDefault="00EB580B">
      <w:pPr>
        <w:rPr>
          <w:rFonts w:ascii="Arial" w:eastAsia="Arial" w:hAnsi="Arial" w:cs="Arial"/>
          <w:b/>
          <w:sz w:val="20"/>
          <w:szCs w:val="20"/>
        </w:rPr>
      </w:pPr>
    </w:p>
    <w:p w14:paraId="0000000F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PRIMARY PURPOSE:</w:t>
      </w:r>
    </w:p>
    <w:p w14:paraId="00000010" w14:textId="77777777" w:rsidR="00EB580B" w:rsidRDefault="00EB580B">
      <w:pPr>
        <w:rPr>
          <w:rFonts w:ascii="Arial" w:eastAsia="Arial" w:hAnsi="Arial" w:cs="Arial"/>
          <w:sz w:val="20"/>
          <w:szCs w:val="20"/>
        </w:rPr>
      </w:pPr>
    </w:p>
    <w:p w14:paraId="00000011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0"/>
          <w:szCs w:val="20"/>
        </w:rPr>
        <w:t>Oversee special program operations for the virtual school, ensuring compliance with State, Fe</w:t>
      </w:r>
      <w:r>
        <w:rPr>
          <w:rFonts w:ascii="Arial" w:eastAsia="Arial" w:hAnsi="Arial" w:cs="Arial"/>
          <w:sz w:val="20"/>
          <w:szCs w:val="20"/>
        </w:rPr>
        <w:t>deral and district policies, and effective operation of all campus activities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Provide support to the district in marketing efforts for virtual and brick-and-mortar campuses.</w:t>
      </w:r>
    </w:p>
    <w:p w14:paraId="00000012" w14:textId="77777777" w:rsidR="00EB580B" w:rsidRDefault="00EB580B">
      <w:pPr>
        <w:rPr>
          <w:rFonts w:ascii="Arial" w:eastAsia="Arial" w:hAnsi="Arial" w:cs="Arial"/>
          <w:sz w:val="20"/>
          <w:szCs w:val="20"/>
        </w:rPr>
      </w:pPr>
    </w:p>
    <w:p w14:paraId="00000013" w14:textId="77777777" w:rsidR="00EB580B" w:rsidRDefault="0039574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QUALIFICATIONS:</w:t>
      </w:r>
    </w:p>
    <w:p w14:paraId="00000014" w14:textId="77777777" w:rsidR="00EB580B" w:rsidRDefault="00EB580B">
      <w:pPr>
        <w:rPr>
          <w:rFonts w:ascii="Arial" w:eastAsia="Arial" w:hAnsi="Arial" w:cs="Arial"/>
          <w:b/>
          <w:sz w:val="20"/>
          <w:szCs w:val="20"/>
        </w:rPr>
      </w:pPr>
    </w:p>
    <w:p w14:paraId="00000015" w14:textId="77777777" w:rsidR="00EB580B" w:rsidRDefault="00395749">
      <w:pPr>
        <w:ind w:firstLine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Education/Certification:</w:t>
      </w:r>
    </w:p>
    <w:p w14:paraId="00000016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Master’s Degree Educational Administra</w:t>
      </w:r>
      <w:r>
        <w:rPr>
          <w:rFonts w:ascii="Arial" w:eastAsia="Arial" w:hAnsi="Arial" w:cs="Arial"/>
          <w:sz w:val="20"/>
          <w:szCs w:val="20"/>
        </w:rPr>
        <w:t>tion or related field</w:t>
      </w:r>
    </w:p>
    <w:p w14:paraId="00000017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Texas Principal Certification preferred</w:t>
      </w:r>
    </w:p>
    <w:p w14:paraId="00000018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Certified Texas TTESS appraiser </w:t>
      </w:r>
    </w:p>
    <w:p w14:paraId="00000019" w14:textId="77777777" w:rsidR="00EB580B" w:rsidRDefault="00EB580B">
      <w:pPr>
        <w:ind w:left="720"/>
        <w:rPr>
          <w:rFonts w:ascii="Arial" w:eastAsia="Arial" w:hAnsi="Arial" w:cs="Arial"/>
          <w:sz w:val="20"/>
          <w:szCs w:val="20"/>
        </w:rPr>
      </w:pPr>
    </w:p>
    <w:p w14:paraId="0000001A" w14:textId="77777777" w:rsidR="00EB580B" w:rsidRDefault="00395749">
      <w:pPr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Special Knowledge/Skills:</w:t>
      </w:r>
    </w:p>
    <w:p w14:paraId="0000001B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Working knowledge of State and Federal guidelines for Special Programs</w:t>
      </w:r>
    </w:p>
    <w:p w14:paraId="0000001C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evaluate required documentation, timelines and requi</w:t>
      </w:r>
      <w:r>
        <w:rPr>
          <w:rFonts w:ascii="Arial" w:eastAsia="Arial" w:hAnsi="Arial" w:cs="Arial"/>
          <w:sz w:val="20"/>
          <w:szCs w:val="20"/>
        </w:rPr>
        <w:t xml:space="preserve">rements for all State and Federal Programs </w:t>
      </w:r>
    </w:p>
    <w:p w14:paraId="0000001D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implement policy and procedures</w:t>
      </w:r>
    </w:p>
    <w:p w14:paraId="0000001E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interpret policy, procedures, and data</w:t>
      </w:r>
    </w:p>
    <w:p w14:paraId="0000001F" w14:textId="77777777" w:rsidR="00EB580B" w:rsidRDefault="00395749">
      <w:pPr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Excellent organizational, communication, public relations, and interpersonal skills</w:t>
      </w:r>
    </w:p>
    <w:p w14:paraId="00000020" w14:textId="77777777" w:rsidR="00EB580B" w:rsidRDefault="00EB580B">
      <w:pPr>
        <w:ind w:left="720"/>
        <w:rPr>
          <w:rFonts w:ascii="Arial" w:eastAsia="Arial" w:hAnsi="Arial" w:cs="Arial"/>
          <w:sz w:val="20"/>
          <w:szCs w:val="20"/>
        </w:rPr>
      </w:pPr>
    </w:p>
    <w:p w14:paraId="00000021" w14:textId="77777777" w:rsidR="00EB580B" w:rsidRDefault="00395749">
      <w:pPr>
        <w:ind w:left="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Experience:</w:t>
      </w:r>
    </w:p>
    <w:p w14:paraId="00000022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Two </w:t>
      </w:r>
      <w:proofErr w:type="spellStart"/>
      <w:r>
        <w:rPr>
          <w:rFonts w:ascii="Arial" w:eastAsia="Arial" w:hAnsi="Arial" w:cs="Arial"/>
          <w:sz w:val="20"/>
          <w:szCs w:val="20"/>
        </w:rPr>
        <w:t>years experience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 classroom teacher</w:t>
      </w:r>
    </w:p>
    <w:p w14:paraId="00000023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Two </w:t>
      </w:r>
      <w:proofErr w:type="spellStart"/>
      <w:r>
        <w:rPr>
          <w:rFonts w:ascii="Arial" w:eastAsia="Arial" w:hAnsi="Arial" w:cs="Arial"/>
          <w:sz w:val="20"/>
          <w:szCs w:val="20"/>
        </w:rPr>
        <w:t>years experience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instructional leadership roles</w:t>
      </w:r>
    </w:p>
    <w:p w14:paraId="00000024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 xml:space="preserve">Two </w:t>
      </w:r>
      <w:proofErr w:type="spellStart"/>
      <w:r>
        <w:rPr>
          <w:rFonts w:ascii="Arial" w:eastAsia="Arial" w:hAnsi="Arial" w:cs="Arial"/>
          <w:sz w:val="20"/>
          <w:szCs w:val="20"/>
        </w:rPr>
        <w:t>years experience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campus leadership</w:t>
      </w:r>
    </w:p>
    <w:p w14:paraId="00000025" w14:textId="77777777" w:rsidR="00EB580B" w:rsidRDefault="00EB580B">
      <w:pPr>
        <w:rPr>
          <w:rFonts w:ascii="Arial" w:eastAsia="Arial" w:hAnsi="Arial" w:cs="Arial"/>
          <w:sz w:val="20"/>
          <w:szCs w:val="20"/>
        </w:rPr>
      </w:pPr>
    </w:p>
    <w:p w14:paraId="00000026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27" w14:textId="77777777" w:rsidR="00EB580B" w:rsidRDefault="0039574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MAJOR RESPONSIBILITIES AND DUTIES</w:t>
      </w:r>
    </w:p>
    <w:p w14:paraId="00000028" w14:textId="77777777" w:rsidR="00EB580B" w:rsidRDefault="00EB580B">
      <w:pPr>
        <w:rPr>
          <w:rFonts w:ascii="Arial" w:eastAsia="Arial" w:hAnsi="Arial" w:cs="Arial"/>
          <w:sz w:val="20"/>
          <w:szCs w:val="20"/>
        </w:rPr>
      </w:pPr>
    </w:p>
    <w:p w14:paraId="00000029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Monitor instructional processes to ensure that program activities are related to outcomes and use findings to take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corrective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actions where necessary.</w:t>
      </w:r>
    </w:p>
    <w:p w14:paraId="0000002A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Solicit regular input from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campus-level committee about planning, operation, supervision, and evaluation of campus education </w:t>
      </w:r>
      <w:r>
        <w:rPr>
          <w:rFonts w:ascii="Arial" w:eastAsia="Arial" w:hAnsi="Arial" w:cs="Arial"/>
          <w:sz w:val="20"/>
          <w:szCs w:val="20"/>
        </w:rPr>
        <w:t>programs</w:t>
      </w:r>
      <w:r>
        <w:rPr>
          <w:rFonts w:ascii="Arial" w:eastAsia="Arial" w:hAnsi="Arial" w:cs="Arial"/>
          <w:color w:val="000000"/>
          <w:sz w:val="20"/>
          <w:szCs w:val="20"/>
        </w:rPr>
        <w:t>. Include students and community representatives when appropriate.</w:t>
      </w:r>
    </w:p>
    <w:p w14:paraId="0000002B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 instructional leaders identify, monitor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provide service to students who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are struggling to be successful in coursework using all available resources.</w:t>
      </w:r>
    </w:p>
    <w:p w14:paraId="0000002C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Advocate on behalf of students in order to best meet their unique needs; assist with the design and implementation of strategies to improve student success in online learning cou</w:t>
      </w:r>
      <w:r>
        <w:rPr>
          <w:rFonts w:ascii="Arial" w:eastAsia="Arial" w:hAnsi="Arial" w:cs="Arial"/>
          <w:color w:val="000000"/>
          <w:sz w:val="20"/>
          <w:szCs w:val="20"/>
        </w:rPr>
        <w:t>rsework.</w:t>
      </w:r>
    </w:p>
    <w:p w14:paraId="0000002D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Ensure instructional leaders are providing daily support, monitoring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feedback to students with intense support during the initial two weeks of the semester to ensure that students are able to navigate their online leaning platform and communi</w:t>
      </w:r>
      <w:r>
        <w:rPr>
          <w:rFonts w:ascii="Arial" w:eastAsia="Arial" w:hAnsi="Arial" w:cs="Arial"/>
          <w:color w:val="000000"/>
          <w:sz w:val="20"/>
          <w:szCs w:val="20"/>
        </w:rPr>
        <w:t>cate with their virtual instructor.</w:t>
      </w:r>
    </w:p>
    <w:p w14:paraId="0000002E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Ensure instructio</w:t>
      </w:r>
      <w:bookmarkStart w:id="1" w:name="_GoBack"/>
      <w:bookmarkEnd w:id="1"/>
      <w:r>
        <w:rPr>
          <w:rFonts w:ascii="Arial" w:eastAsia="Arial" w:hAnsi="Arial" w:cs="Arial"/>
          <w:color w:val="000000"/>
          <w:sz w:val="20"/>
          <w:szCs w:val="20"/>
        </w:rPr>
        <w:t>nal leaders utilize virtual conferencing tools to provide regular support to virtual students.</w:t>
      </w:r>
    </w:p>
    <w:p w14:paraId="0000002F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Maintain current knowledge of technology and applications that relate to the effective support of virtual le</w:t>
      </w:r>
      <w:r>
        <w:rPr>
          <w:rFonts w:ascii="Arial" w:eastAsia="Arial" w:hAnsi="Arial" w:cs="Arial"/>
          <w:color w:val="000000"/>
          <w:sz w:val="20"/>
          <w:szCs w:val="20"/>
        </w:rPr>
        <w:t>arning systems.</w:t>
      </w:r>
    </w:p>
    <w:p w14:paraId="00000030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Track progress, pacing, and completion rates of students enrolled in TISD virtual schools to ensure targets are met.</w:t>
      </w:r>
    </w:p>
    <w:p w14:paraId="00000031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 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service </w:t>
      </w:r>
      <w:r>
        <w:rPr>
          <w:rFonts w:ascii="Arial" w:eastAsia="Arial" w:hAnsi="Arial" w:cs="Arial"/>
          <w:sz w:val="20"/>
          <w:szCs w:val="20"/>
        </w:rPr>
        <w:t>provider team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build a common vision for school improvement with staff. Direct planning activities and </w:t>
      </w:r>
      <w:r>
        <w:rPr>
          <w:rFonts w:ascii="Arial" w:eastAsia="Arial" w:hAnsi="Arial" w:cs="Arial"/>
          <w:sz w:val="20"/>
          <w:szCs w:val="20"/>
        </w:rPr>
        <w:t>implement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programs to ensure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attainment of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color w:val="000000"/>
          <w:sz w:val="20"/>
          <w:szCs w:val="20"/>
        </w:rPr>
        <w:t>school’s mission.</w:t>
      </w:r>
    </w:p>
    <w:p w14:paraId="00000032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Work with</w:t>
      </w:r>
      <w:r>
        <w:rPr>
          <w:rFonts w:ascii="Arial" w:eastAsia="Arial" w:hAnsi="Arial" w:cs="Arial"/>
          <w:sz w:val="20"/>
          <w:szCs w:val="20"/>
        </w:rPr>
        <w:t xml:space="preserve"> service provider team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to establish campus performance objectives for Texas Assessment Performance Reporting using the campus planning process. Demonstrate campus progress using </w:t>
      </w:r>
      <w:r>
        <w:rPr>
          <w:rFonts w:ascii="Arial" w:eastAsia="Arial" w:hAnsi="Arial" w:cs="Arial"/>
          <w:color w:val="000000"/>
          <w:sz w:val="20"/>
          <w:szCs w:val="20"/>
        </w:rPr>
        <w:t>results to promote school improvement.</w:t>
      </w:r>
    </w:p>
    <w:p w14:paraId="00000033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Provide opportunities for interactive communication with all stakeholders.</w:t>
      </w:r>
    </w:p>
    <w:p w14:paraId="00000034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Communicate and promote expectations for high-level performance to staff and students. Recognize excellence and achievement.</w:t>
      </w:r>
    </w:p>
    <w:p w14:paraId="00000035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Identify, analyze</w:t>
      </w:r>
      <w:r>
        <w:rPr>
          <w:rFonts w:ascii="Arial" w:eastAsia="Arial" w:hAnsi="Arial" w:cs="Arial"/>
          <w:color w:val="000000"/>
          <w:sz w:val="20"/>
          <w:szCs w:val="20"/>
        </w:rPr>
        <w:t>, and apply research-based practices to promote school improvement.</w:t>
      </w:r>
    </w:p>
    <w:p w14:paraId="00000036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Comply with district policies, state and federal laws, and regulations affecting schools.</w:t>
      </w:r>
    </w:p>
    <w:p w14:paraId="00000037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Support District and service provider marketing efforts. </w:t>
      </w:r>
    </w:p>
    <w:p w14:paraId="00000038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Compile, maintain, and file all reports, records, and other documents required for District, State and/or Federal submission. Manage student records retention according to Texas Library Commission Standards.</w:t>
      </w:r>
    </w:p>
    <w:p w14:paraId="00000039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Monitor that all District required enrollment pr</w:t>
      </w:r>
      <w:r>
        <w:rPr>
          <w:rFonts w:ascii="Arial" w:eastAsia="Arial" w:hAnsi="Arial" w:cs="Arial"/>
          <w:color w:val="000000"/>
          <w:sz w:val="20"/>
          <w:szCs w:val="20"/>
        </w:rPr>
        <w:t>ocesses, paperwork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submissions are complete and 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000000"/>
          <w:sz w:val="20"/>
          <w:szCs w:val="20"/>
        </w:rPr>
        <w:t>families are in compliance with Texas Statutes.</w:t>
      </w:r>
    </w:p>
    <w:p w14:paraId="0000003A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Monitor the implementation/coordination of the state standardized testing process for virtual school students.</w:t>
      </w:r>
    </w:p>
    <w:p w14:paraId="0000003B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Work </w:t>
      </w:r>
      <w:r>
        <w:rPr>
          <w:rFonts w:ascii="Arial" w:eastAsia="Arial" w:hAnsi="Arial" w:cs="Arial"/>
          <w:sz w:val="20"/>
          <w:szCs w:val="20"/>
        </w:rPr>
        <w:t>with service provider team to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ensu</w:t>
      </w:r>
      <w:r>
        <w:rPr>
          <w:rFonts w:ascii="Arial" w:eastAsia="Arial" w:hAnsi="Arial" w:cs="Arial"/>
          <w:color w:val="000000"/>
          <w:sz w:val="20"/>
          <w:szCs w:val="20"/>
        </w:rPr>
        <w:t>re the recommendation, identification, and delivery of special program services (GT/Special Education/504 Program/ESL/etc.) to enrolled students as mandated by District, State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and Federal guidelines. </w:t>
      </w:r>
    </w:p>
    <w:p w14:paraId="0000003C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Monitor certification and assignment of all personnel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assigned to </w:t>
      </w:r>
      <w:r>
        <w:rPr>
          <w:rFonts w:ascii="Arial" w:eastAsia="Arial" w:hAnsi="Arial" w:cs="Arial"/>
          <w:sz w:val="20"/>
          <w:szCs w:val="20"/>
        </w:rPr>
        <w:t>virtual c</w:t>
      </w:r>
      <w:r>
        <w:rPr>
          <w:rFonts w:ascii="Arial" w:eastAsia="Arial" w:hAnsi="Arial" w:cs="Arial"/>
          <w:color w:val="000000"/>
          <w:sz w:val="20"/>
          <w:szCs w:val="20"/>
        </w:rPr>
        <w:t>ampus.</w:t>
      </w:r>
    </w:p>
    <w:p w14:paraId="0000003D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Develop professional skills appropriate to job assignment.</w:t>
      </w:r>
    </w:p>
    <w:p w14:paraId="0000003E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Demonstrate professional, ethical, and responsible behavior. Serve as a role model for all campus and District staff.</w:t>
      </w:r>
    </w:p>
    <w:p w14:paraId="0000003F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Articulate the school’s mission to the community and solicit its support in realizing the mission.</w:t>
      </w:r>
    </w:p>
    <w:p w14:paraId="00000040" w14:textId="77777777" w:rsidR="00EB580B" w:rsidRDefault="003957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540" w:hanging="5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Demonstrate awareness of all stakeholder needs and initiate activities to meet those needs using appropriate and effective techniques to encourage community </w:t>
      </w:r>
      <w:r>
        <w:rPr>
          <w:rFonts w:ascii="Arial" w:eastAsia="Arial" w:hAnsi="Arial" w:cs="Arial"/>
          <w:color w:val="000000"/>
          <w:sz w:val="20"/>
          <w:szCs w:val="20"/>
        </w:rPr>
        <w:t>and parent involvement.</w:t>
      </w:r>
    </w:p>
    <w:p w14:paraId="00000041" w14:textId="77777777" w:rsidR="00EB580B" w:rsidRDefault="00EB580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00000042" w14:textId="77777777" w:rsidR="00EB580B" w:rsidRDefault="00EB580B"/>
    <w:p w14:paraId="00000043" w14:textId="77777777" w:rsidR="00EB580B" w:rsidRDefault="00395749">
      <w:pPr>
        <w:tabs>
          <w:tab w:val="left" w:pos="1520"/>
          <w:tab w:val="left" w:pos="21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EQUIPMENT USED:</w:t>
      </w:r>
    </w:p>
    <w:p w14:paraId="00000044" w14:textId="77777777" w:rsidR="00EB580B" w:rsidRDefault="00395749">
      <w:pPr>
        <w:tabs>
          <w:tab w:val="left" w:pos="720"/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Computer, printer, calculator, fax machine, copier, multi-line telephone system, and other modern office equipment. </w:t>
      </w:r>
    </w:p>
    <w:p w14:paraId="00000045" w14:textId="77777777" w:rsidR="00EB580B" w:rsidRDefault="00EB580B">
      <w:pPr>
        <w:tabs>
          <w:tab w:val="left" w:pos="1520"/>
          <w:tab w:val="left" w:pos="2160"/>
        </w:tabs>
        <w:rPr>
          <w:rFonts w:ascii="Arial" w:eastAsia="Arial" w:hAnsi="Arial" w:cs="Arial"/>
          <w:b/>
          <w:sz w:val="20"/>
          <w:szCs w:val="20"/>
        </w:rPr>
      </w:pPr>
    </w:p>
    <w:p w14:paraId="00000046" w14:textId="77777777" w:rsidR="00EB580B" w:rsidRDefault="00395749">
      <w:pPr>
        <w:tabs>
          <w:tab w:val="left" w:pos="1520"/>
          <w:tab w:val="left" w:pos="216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WORKING CONDITIONS:</w:t>
      </w:r>
    </w:p>
    <w:p w14:paraId="00000047" w14:textId="77777777" w:rsidR="00EB580B" w:rsidRDefault="00EB580B">
      <w:pPr>
        <w:tabs>
          <w:tab w:val="left" w:pos="1520"/>
          <w:tab w:val="left" w:pos="2160"/>
        </w:tabs>
        <w:rPr>
          <w:rFonts w:ascii="Arial" w:eastAsia="Arial" w:hAnsi="Arial" w:cs="Arial"/>
          <w:b/>
          <w:sz w:val="20"/>
          <w:szCs w:val="20"/>
        </w:rPr>
      </w:pPr>
    </w:p>
    <w:p w14:paraId="00000048" w14:textId="77777777" w:rsidR="00EB580B" w:rsidRDefault="00395749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The physical demands described here are representative of those that must b</w:t>
      </w:r>
      <w:r>
        <w:rPr>
          <w:rFonts w:ascii="Arial" w:eastAsia="Arial" w:hAnsi="Arial" w:cs="Arial"/>
          <w:b/>
          <w:sz w:val="20"/>
          <w:szCs w:val="20"/>
        </w:rPr>
        <w:t>e met by an employee to successfully perform the essential functions of this job. Reasonable accommodations will be made if necessary:</w:t>
      </w:r>
    </w:p>
    <w:p w14:paraId="00000049" w14:textId="77777777" w:rsidR="00EB580B" w:rsidRDefault="00EB580B">
      <w:pPr>
        <w:tabs>
          <w:tab w:val="left" w:pos="1520"/>
          <w:tab w:val="left" w:pos="2160"/>
        </w:tabs>
        <w:rPr>
          <w:rFonts w:ascii="Arial" w:eastAsia="Arial" w:hAnsi="Arial" w:cs="Arial"/>
          <w:sz w:val="20"/>
          <w:szCs w:val="20"/>
        </w:rPr>
      </w:pPr>
    </w:p>
    <w:p w14:paraId="0000004A" w14:textId="77777777" w:rsidR="00EB580B" w:rsidRDefault="0039574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Mental/Physical Demands:</w:t>
      </w:r>
    </w:p>
    <w:p w14:paraId="0000004B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Ability to communicate effectively (verbal and written); interpret policy, procedures and data; coordinate campus functions; maintain control under stress; ability to manage others in a non-coercive manner; maintain a clear focus on customer service.  Occa</w:t>
      </w:r>
      <w:r>
        <w:rPr>
          <w:rFonts w:ascii="Arial" w:eastAsia="Arial" w:hAnsi="Arial" w:cs="Arial"/>
          <w:sz w:val="20"/>
          <w:szCs w:val="20"/>
        </w:rPr>
        <w:t>sional district and statewide travel; frequent prolonged and irregular hours; ability to lift and carry 50lb.  While performing the duties of this job, the employee is regularly required to sit; stand and move throughout the facility. Duties also include m</w:t>
      </w:r>
      <w:r>
        <w:rPr>
          <w:rFonts w:ascii="Arial" w:eastAsia="Arial" w:hAnsi="Arial" w:cs="Arial"/>
          <w:sz w:val="20"/>
          <w:szCs w:val="20"/>
        </w:rPr>
        <w:t xml:space="preserve">oderate standing, stooping, bending, </w:t>
      </w:r>
      <w:proofErr w:type="gramStart"/>
      <w:r>
        <w:rPr>
          <w:rFonts w:ascii="Arial" w:eastAsia="Arial" w:hAnsi="Arial" w:cs="Arial"/>
          <w:sz w:val="20"/>
          <w:szCs w:val="20"/>
        </w:rPr>
        <w:t>lifting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/transport of up to 50lbs and the ability to work with frequent interruptions. </w:t>
      </w:r>
    </w:p>
    <w:p w14:paraId="0000004C" w14:textId="77777777" w:rsidR="00EB580B" w:rsidRDefault="00EB580B">
      <w:pPr>
        <w:rPr>
          <w:rFonts w:ascii="Arial" w:eastAsia="Arial" w:hAnsi="Arial" w:cs="Arial"/>
          <w:sz w:val="18"/>
          <w:szCs w:val="18"/>
        </w:rPr>
      </w:pPr>
    </w:p>
    <w:p w14:paraId="0000004D" w14:textId="77777777" w:rsidR="00EB580B" w:rsidRDefault="00EB580B">
      <w:pPr>
        <w:pBdr>
          <w:bottom w:val="single" w:sz="6" w:space="1" w:color="000000"/>
        </w:pBdr>
        <w:rPr>
          <w:rFonts w:ascii="Arial" w:eastAsia="Arial" w:hAnsi="Arial" w:cs="Arial"/>
          <w:sz w:val="20"/>
          <w:szCs w:val="20"/>
        </w:rPr>
      </w:pPr>
    </w:p>
    <w:p w14:paraId="0000004E" w14:textId="77777777" w:rsidR="00EB580B" w:rsidRDefault="00EB580B">
      <w:pPr>
        <w:tabs>
          <w:tab w:val="left" w:pos="2340"/>
        </w:tabs>
        <w:rPr>
          <w:rFonts w:ascii="Arial" w:eastAsia="Arial" w:hAnsi="Arial" w:cs="Arial"/>
          <w:sz w:val="20"/>
          <w:szCs w:val="20"/>
        </w:rPr>
      </w:pPr>
    </w:p>
    <w:p w14:paraId="0000004F" w14:textId="77777777" w:rsidR="00EB580B" w:rsidRDefault="00395749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  <w:tab w:val="left" w:pos="216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The foregoing statements describe the general purpose and responsibilities assigned to this job, and are not an exhaustive list o</w:t>
      </w:r>
      <w:r>
        <w:rPr>
          <w:rFonts w:ascii="Arial" w:eastAsia="Arial" w:hAnsi="Arial" w:cs="Arial"/>
          <w:color w:val="000000"/>
          <w:sz w:val="20"/>
          <w:szCs w:val="20"/>
        </w:rPr>
        <w:t>f all responsibilities, duties and skills that may be required.</w:t>
      </w:r>
    </w:p>
    <w:p w14:paraId="00000050" w14:textId="77777777" w:rsidR="00EB580B" w:rsidRDefault="00EB580B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51" w14:textId="77777777" w:rsidR="00EB580B" w:rsidRDefault="00EB580B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20"/>
        </w:rPr>
      </w:pPr>
    </w:p>
    <w:p w14:paraId="00000052" w14:textId="77777777" w:rsidR="00EB580B" w:rsidRDefault="00EB580B">
      <w:pPr>
        <w:tabs>
          <w:tab w:val="right" w:pos="7200"/>
          <w:tab w:val="right" w:pos="9260"/>
        </w:tabs>
        <w:ind w:right="-720"/>
        <w:rPr>
          <w:rFonts w:ascii="Arial" w:eastAsia="Arial" w:hAnsi="Arial" w:cs="Arial"/>
          <w:sz w:val="20"/>
          <w:szCs w:val="20"/>
          <w:u w:val="single"/>
        </w:rPr>
      </w:pPr>
    </w:p>
    <w:p w14:paraId="00000053" w14:textId="77777777" w:rsidR="00EB580B" w:rsidRDefault="00395749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54" w14:textId="77777777" w:rsidR="00EB580B" w:rsidRDefault="00395749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Employee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00000055" w14:textId="77777777" w:rsidR="00EB580B" w:rsidRDefault="00EB580B">
      <w:pPr>
        <w:tabs>
          <w:tab w:val="left" w:pos="6480"/>
        </w:tabs>
        <w:rPr>
          <w:rFonts w:ascii="Arial" w:eastAsia="Arial" w:hAnsi="Arial" w:cs="Arial"/>
          <w:sz w:val="20"/>
          <w:szCs w:val="20"/>
          <w:u w:val="single"/>
        </w:rPr>
      </w:pPr>
    </w:p>
    <w:p w14:paraId="00000056" w14:textId="77777777" w:rsidR="00EB580B" w:rsidRDefault="00EB580B">
      <w:pPr>
        <w:tabs>
          <w:tab w:val="left" w:pos="6480"/>
        </w:tabs>
        <w:rPr>
          <w:rFonts w:ascii="Arial" w:eastAsia="Arial" w:hAnsi="Arial" w:cs="Arial"/>
          <w:sz w:val="20"/>
          <w:szCs w:val="20"/>
          <w:u w:val="single"/>
        </w:rPr>
      </w:pPr>
    </w:p>
    <w:p w14:paraId="00000057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14:paraId="00000058" w14:textId="77777777" w:rsidR="00EB580B" w:rsidRDefault="0039574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Supervisor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</w:t>
      </w:r>
    </w:p>
    <w:p w14:paraId="00000059" w14:textId="77777777" w:rsidR="00EB580B" w:rsidRDefault="00EB580B">
      <w:pPr>
        <w:rPr>
          <w:rFonts w:ascii="Arial" w:eastAsia="Arial" w:hAnsi="Arial" w:cs="Arial"/>
          <w:sz w:val="20"/>
          <w:szCs w:val="20"/>
        </w:rPr>
      </w:pPr>
    </w:p>
    <w:sectPr w:rsidR="00EB580B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C9BC2" w14:textId="77777777" w:rsidR="00000000" w:rsidRDefault="00395749">
      <w:r>
        <w:separator/>
      </w:r>
    </w:p>
  </w:endnote>
  <w:endnote w:type="continuationSeparator" w:id="0">
    <w:p w14:paraId="2AF6AD03" w14:textId="77777777" w:rsidR="00000000" w:rsidRDefault="0039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E" w14:textId="77777777" w:rsidR="00EB580B" w:rsidRDefault="003957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Texarkana Independent School District    •    4241 Summerhill Road    •    Texarkana, Texas    75503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F" w14:textId="77777777" w:rsidR="00EB580B" w:rsidRDefault="003957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Texarkana Independent School District    •    4241 Summerhill Road    •    Texarkana, Texas    75503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70C6D" w14:textId="77777777" w:rsidR="00000000" w:rsidRDefault="00395749">
      <w:r>
        <w:separator/>
      </w:r>
    </w:p>
  </w:footnote>
  <w:footnote w:type="continuationSeparator" w:id="0">
    <w:p w14:paraId="5C8D3B5E" w14:textId="77777777" w:rsidR="00000000" w:rsidRDefault="0039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EB580B" w:rsidRDefault="003957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JOB DESCRIPTION</w:t>
    </w:r>
  </w:p>
  <w:p w14:paraId="4772FE78" w14:textId="2D1FD1C2" w:rsidR="00395749" w:rsidRDefault="003957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Virtual Special Programs Supervisor</w:t>
    </w:r>
  </w:p>
  <w:p w14:paraId="0000005C" w14:textId="7BDA1FF7" w:rsidR="00EB580B" w:rsidRDefault="0039574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C726B3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i/>
        <w:noProof/>
        <w:color w:val="000000"/>
        <w:sz w:val="16"/>
        <w:szCs w:val="16"/>
      </w:rPr>
      <w:t>3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  <w:p w14:paraId="0000005D" w14:textId="77777777" w:rsidR="00EB580B" w:rsidRDefault="00EB580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20F14"/>
    <w:multiLevelType w:val="multilevel"/>
    <w:tmpl w:val="70528DA4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0B"/>
    <w:rsid w:val="00395749"/>
    <w:rsid w:val="00C726B3"/>
    <w:rsid w:val="00EB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DE8AF"/>
  <w15:docId w15:val="{F06A345E-FBDE-4C2D-B839-906C8592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395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749"/>
  </w:style>
  <w:style w:type="paragraph" w:styleId="Footer">
    <w:name w:val="footer"/>
    <w:basedOn w:val="Normal"/>
    <w:link w:val="FooterChar"/>
    <w:uiPriority w:val="99"/>
    <w:unhideWhenUsed/>
    <w:rsid w:val="00395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ISD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Hollo</dc:creator>
  <cp:lastModifiedBy>Kimberly Hollo</cp:lastModifiedBy>
  <cp:revision>3</cp:revision>
  <dcterms:created xsi:type="dcterms:W3CDTF">2022-07-14T20:43:00Z</dcterms:created>
  <dcterms:modified xsi:type="dcterms:W3CDTF">2022-07-14T20:44:00Z</dcterms:modified>
</cp:coreProperties>
</file>